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Pr="00866C1F" w:rsidRDefault="03D29C69" w:rsidP="3D434B5F">
      <w:pPr>
        <w:spacing w:line="259" w:lineRule="auto"/>
        <w:ind w:left="-850"/>
        <w:rPr>
          <w:rFonts w:asciiTheme="minorHAnsi" w:hAnsiTheme="minorHAnsi" w:cstheme="minorHAnsi"/>
        </w:rPr>
      </w:pPr>
      <w:r w:rsidRPr="00866C1F">
        <w:rPr>
          <w:rFonts w:asciiTheme="minorHAnsi" w:hAnsiTheme="minorHAnsi" w:cstheme="minorHAnsi"/>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Pr="00866C1F" w:rsidRDefault="3D434B5F" w:rsidP="3D434B5F">
      <w:pPr>
        <w:spacing w:line="259" w:lineRule="auto"/>
        <w:ind w:left="-850"/>
        <w:rPr>
          <w:rFonts w:asciiTheme="minorHAnsi" w:hAnsiTheme="minorHAnsi" w:cstheme="minorHAnsi"/>
        </w:rPr>
      </w:pPr>
    </w:p>
    <w:p w14:paraId="5136F8E6" w14:textId="2DDEB59A" w:rsidR="03D29C69" w:rsidRPr="00866C1F" w:rsidRDefault="03D29C69" w:rsidP="3D434B5F">
      <w:pPr>
        <w:spacing w:line="257" w:lineRule="auto"/>
        <w:jc w:val="center"/>
        <w:rPr>
          <w:rFonts w:asciiTheme="minorHAnsi" w:eastAsia="Arial" w:hAnsiTheme="minorHAnsi" w:cstheme="minorHAnsi"/>
          <w:color w:val="808080" w:themeColor="background1" w:themeShade="80"/>
          <w:sz w:val="48"/>
          <w:szCs w:val="48"/>
        </w:rPr>
      </w:pPr>
      <w:r w:rsidRPr="00866C1F">
        <w:rPr>
          <w:rFonts w:asciiTheme="minorHAnsi" w:eastAsia="Arial" w:hAnsiTheme="minorHAnsi" w:cstheme="minorHAnsi"/>
          <w:color w:val="808080" w:themeColor="background1" w:themeShade="80"/>
          <w:sz w:val="48"/>
          <w:szCs w:val="48"/>
        </w:rPr>
        <w:t>Meeting</w:t>
      </w:r>
      <w:r w:rsidR="00911D70" w:rsidRPr="00866C1F">
        <w:rPr>
          <w:rFonts w:asciiTheme="minorHAnsi" w:eastAsia="Arial" w:hAnsiTheme="minorHAnsi" w:cstheme="minorHAnsi"/>
          <w:color w:val="808080" w:themeColor="background1" w:themeShade="80"/>
          <w:sz w:val="48"/>
          <w:szCs w:val="48"/>
        </w:rPr>
        <w:t xml:space="preserve"> Minutes </w:t>
      </w:r>
    </w:p>
    <w:p w14:paraId="44F7832B" w14:textId="77777777" w:rsidR="3D434B5F" w:rsidRPr="00866C1F" w:rsidRDefault="3D434B5F" w:rsidP="3D434B5F">
      <w:pPr>
        <w:spacing w:line="257" w:lineRule="auto"/>
        <w:ind w:left="794" w:hanging="794"/>
        <w:jc w:val="center"/>
        <w:rPr>
          <w:rFonts w:asciiTheme="minorHAnsi" w:eastAsia="Arial" w:hAnsiTheme="minorHAnsi" w:cstheme="minorHAnsi"/>
          <w:color w:val="EE2A24"/>
          <w:sz w:val="36"/>
          <w:szCs w:val="36"/>
        </w:rPr>
      </w:pPr>
    </w:p>
    <w:tbl>
      <w:tblPr>
        <w:tblW w:w="0" w:type="auto"/>
        <w:tblLayout w:type="fixed"/>
        <w:tblLook w:val="06A0" w:firstRow="1" w:lastRow="0" w:firstColumn="1" w:lastColumn="0" w:noHBand="1" w:noVBand="1"/>
      </w:tblPr>
      <w:tblGrid>
        <w:gridCol w:w="1710"/>
        <w:gridCol w:w="6915"/>
      </w:tblGrid>
      <w:tr w:rsidR="3D434B5F" w:rsidRPr="00866C1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Pr="00866C1F" w:rsidRDefault="3D434B5F" w:rsidP="3D434B5F">
            <w:pPr>
              <w:spacing w:line="259" w:lineRule="auto"/>
              <w:rPr>
                <w:rFonts w:asciiTheme="minorHAnsi" w:eastAsia="Arial" w:hAnsiTheme="minorHAnsi" w:cstheme="minorHAnsi"/>
              </w:rPr>
            </w:pPr>
            <w:r w:rsidRPr="00866C1F">
              <w:rPr>
                <w:rFonts w:asciiTheme="minorHAnsi" w:eastAsia="Arial" w:hAnsiTheme="minorHAnsi" w:cstheme="minorHAnsi"/>
                <w:b/>
                <w:bCs/>
              </w:rPr>
              <w:t xml:space="preserve">Date </w:t>
            </w:r>
          </w:p>
        </w:tc>
        <w:tc>
          <w:tcPr>
            <w:tcW w:w="6915" w:type="dxa"/>
            <w:tcBorders>
              <w:top w:val="single" w:sz="6" w:space="0" w:color="93867A"/>
              <w:left w:val="nil"/>
              <w:bottom w:val="single" w:sz="6" w:space="0" w:color="93867A"/>
              <w:right w:val="nil"/>
            </w:tcBorders>
            <w:vAlign w:val="center"/>
          </w:tcPr>
          <w:p w14:paraId="6EDF288F" w14:textId="51906648" w:rsidR="76D7E7E8" w:rsidRPr="00866C1F" w:rsidRDefault="006A5A28" w:rsidP="3D434B5F">
            <w:pPr>
              <w:spacing w:line="259" w:lineRule="auto"/>
              <w:rPr>
                <w:rFonts w:asciiTheme="minorHAnsi" w:eastAsia="Arial" w:hAnsiTheme="minorHAnsi" w:cstheme="minorHAnsi"/>
              </w:rPr>
            </w:pPr>
            <w:r w:rsidRPr="00866C1F">
              <w:rPr>
                <w:rFonts w:asciiTheme="minorHAnsi" w:eastAsia="Arial" w:hAnsiTheme="minorHAnsi" w:cstheme="minorHAnsi"/>
              </w:rPr>
              <w:t>19</w:t>
            </w:r>
            <w:r w:rsidR="3D434B5F" w:rsidRPr="00866C1F">
              <w:rPr>
                <w:rFonts w:asciiTheme="minorHAnsi" w:eastAsia="Arial" w:hAnsiTheme="minorHAnsi" w:cstheme="minorHAnsi"/>
              </w:rPr>
              <w:t>/</w:t>
            </w:r>
            <w:r w:rsidRPr="00866C1F">
              <w:rPr>
                <w:rFonts w:asciiTheme="minorHAnsi" w:eastAsia="Arial" w:hAnsiTheme="minorHAnsi" w:cstheme="minorHAnsi"/>
              </w:rPr>
              <w:t>12</w:t>
            </w:r>
            <w:r w:rsidR="3D434B5F" w:rsidRPr="00866C1F">
              <w:rPr>
                <w:rFonts w:asciiTheme="minorHAnsi" w:eastAsia="Arial" w:hAnsiTheme="minorHAnsi" w:cstheme="minorHAnsi"/>
              </w:rPr>
              <w:t>/202</w:t>
            </w:r>
            <w:r w:rsidR="002C2EE1" w:rsidRPr="00866C1F">
              <w:rPr>
                <w:rFonts w:asciiTheme="minorHAnsi" w:eastAsia="Arial" w:hAnsiTheme="minorHAnsi" w:cstheme="minorHAnsi"/>
              </w:rPr>
              <w:t>3</w:t>
            </w:r>
          </w:p>
        </w:tc>
      </w:tr>
      <w:tr w:rsidR="3D434B5F" w:rsidRPr="00866C1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Pr="00866C1F" w:rsidRDefault="3D434B5F" w:rsidP="3D434B5F">
            <w:pPr>
              <w:spacing w:line="259" w:lineRule="auto"/>
              <w:rPr>
                <w:rFonts w:asciiTheme="minorHAnsi" w:eastAsia="Arial" w:hAnsiTheme="minorHAnsi" w:cstheme="minorHAnsi"/>
              </w:rPr>
            </w:pPr>
            <w:r w:rsidRPr="00866C1F">
              <w:rPr>
                <w:rFonts w:asciiTheme="minorHAnsi" w:eastAsia="Arial" w:hAnsiTheme="minorHAnsi" w:cstheme="minorHAnsi"/>
                <w:b/>
                <w:bCs/>
              </w:rPr>
              <w:t>Time</w:t>
            </w:r>
          </w:p>
        </w:tc>
        <w:tc>
          <w:tcPr>
            <w:tcW w:w="6915" w:type="dxa"/>
            <w:tcBorders>
              <w:top w:val="single" w:sz="6" w:space="0" w:color="93867A"/>
              <w:left w:val="nil"/>
              <w:bottom w:val="single" w:sz="6" w:space="0" w:color="93867A"/>
              <w:right w:val="nil"/>
            </w:tcBorders>
            <w:vAlign w:val="center"/>
          </w:tcPr>
          <w:p w14:paraId="78DE9B53" w14:textId="583B6841" w:rsidR="00FF23C7" w:rsidRPr="00866C1F" w:rsidRDefault="006A5A28" w:rsidP="3D434B5F">
            <w:pPr>
              <w:spacing w:line="259" w:lineRule="auto"/>
              <w:rPr>
                <w:rFonts w:asciiTheme="minorHAnsi" w:eastAsia="Arial" w:hAnsiTheme="minorHAnsi" w:cstheme="minorHAnsi"/>
              </w:rPr>
            </w:pPr>
            <w:r w:rsidRPr="00866C1F">
              <w:rPr>
                <w:rFonts w:asciiTheme="minorHAnsi" w:eastAsia="Arial" w:hAnsiTheme="minorHAnsi" w:cstheme="minorHAnsi"/>
              </w:rPr>
              <w:t>9a</w:t>
            </w:r>
            <w:r w:rsidR="00633A31" w:rsidRPr="00866C1F">
              <w:rPr>
                <w:rFonts w:asciiTheme="minorHAnsi" w:eastAsia="Arial" w:hAnsiTheme="minorHAnsi" w:cstheme="minorHAnsi"/>
              </w:rPr>
              <w:t>m</w:t>
            </w:r>
          </w:p>
        </w:tc>
      </w:tr>
      <w:tr w:rsidR="3D434B5F" w:rsidRPr="00866C1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Pr="00866C1F" w:rsidRDefault="3D434B5F" w:rsidP="3D434B5F">
            <w:pPr>
              <w:spacing w:line="259" w:lineRule="auto"/>
              <w:rPr>
                <w:rFonts w:asciiTheme="minorHAnsi" w:eastAsia="Arial" w:hAnsiTheme="minorHAnsi" w:cstheme="minorHAnsi"/>
              </w:rPr>
            </w:pPr>
            <w:r w:rsidRPr="00866C1F">
              <w:rPr>
                <w:rFonts w:asciiTheme="minorHAnsi" w:eastAsia="Arial" w:hAnsiTheme="minorHAnsi" w:cstheme="minorHAnsi"/>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Pr="00866C1F" w:rsidRDefault="3D434B5F" w:rsidP="3D434B5F">
            <w:pPr>
              <w:spacing w:line="259" w:lineRule="auto"/>
              <w:rPr>
                <w:rFonts w:asciiTheme="minorHAnsi" w:eastAsia="Arial" w:hAnsiTheme="minorHAnsi" w:cstheme="minorHAnsi"/>
              </w:rPr>
            </w:pPr>
            <w:r w:rsidRPr="00866C1F">
              <w:rPr>
                <w:rFonts w:asciiTheme="minorHAnsi" w:eastAsia="Arial" w:hAnsiTheme="minorHAnsi" w:cstheme="minorHAnsi"/>
              </w:rPr>
              <w:t>Zoom</w:t>
            </w:r>
          </w:p>
        </w:tc>
      </w:tr>
      <w:tr w:rsidR="3D434B5F" w:rsidRPr="00866C1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Pr="00866C1F" w:rsidRDefault="3D434B5F" w:rsidP="3D434B5F">
            <w:pPr>
              <w:spacing w:line="259" w:lineRule="auto"/>
              <w:rPr>
                <w:rFonts w:asciiTheme="minorHAnsi" w:eastAsia="Arial" w:hAnsiTheme="minorHAnsi" w:cstheme="minorHAnsi"/>
              </w:rPr>
            </w:pPr>
            <w:r w:rsidRPr="00866C1F">
              <w:rPr>
                <w:rFonts w:asciiTheme="minorHAnsi" w:eastAsia="Arial" w:hAnsiTheme="minorHAnsi" w:cstheme="minorHAnsi"/>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Pr="00866C1F" w:rsidRDefault="3D434B5F" w:rsidP="3D434B5F">
            <w:pPr>
              <w:spacing w:line="259" w:lineRule="auto"/>
              <w:rPr>
                <w:rFonts w:asciiTheme="minorHAnsi" w:eastAsia="Arial" w:hAnsiTheme="minorHAnsi" w:cstheme="minorHAnsi"/>
              </w:rPr>
            </w:pPr>
            <w:r w:rsidRPr="00866C1F">
              <w:rPr>
                <w:rFonts w:asciiTheme="minorHAnsi" w:eastAsia="Arial" w:hAnsiTheme="minorHAnsi" w:cstheme="minorHAnsi"/>
              </w:rPr>
              <w:t>Team Meeting</w:t>
            </w:r>
          </w:p>
        </w:tc>
      </w:tr>
      <w:tr w:rsidR="3D434B5F" w:rsidRPr="00866C1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Pr="00866C1F" w:rsidRDefault="3D434B5F" w:rsidP="3D434B5F">
            <w:pPr>
              <w:spacing w:line="259" w:lineRule="auto"/>
              <w:rPr>
                <w:rFonts w:asciiTheme="minorHAnsi" w:eastAsia="Arial" w:hAnsiTheme="minorHAnsi" w:cstheme="minorHAnsi"/>
              </w:rPr>
            </w:pPr>
            <w:r w:rsidRPr="00866C1F">
              <w:rPr>
                <w:rFonts w:asciiTheme="minorHAnsi" w:eastAsia="Arial" w:hAnsiTheme="minorHAnsi" w:cstheme="minorHAnsi"/>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Pr="00866C1F" w:rsidRDefault="3D434B5F" w:rsidP="3D434B5F">
            <w:pPr>
              <w:spacing w:line="259" w:lineRule="auto"/>
              <w:rPr>
                <w:rFonts w:asciiTheme="minorHAnsi" w:eastAsia="Arial" w:hAnsiTheme="minorHAnsi" w:cstheme="minorHAnsi"/>
              </w:rPr>
            </w:pPr>
          </w:p>
        </w:tc>
      </w:tr>
      <w:tr w:rsidR="00950928" w:rsidRPr="00866C1F"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Pr="00866C1F" w:rsidRDefault="00950928" w:rsidP="0067543C">
            <w:pPr>
              <w:spacing w:line="259" w:lineRule="auto"/>
              <w:rPr>
                <w:rFonts w:asciiTheme="minorHAnsi" w:eastAsia="Arial" w:hAnsiTheme="minorHAnsi" w:cstheme="minorHAnsi"/>
              </w:rPr>
            </w:pPr>
            <w:r w:rsidRPr="00866C1F">
              <w:rPr>
                <w:rFonts w:asciiTheme="minorHAnsi" w:eastAsia="Arial" w:hAnsiTheme="minorHAnsi" w:cstheme="minorHAnsi"/>
                <w:b/>
                <w:bCs/>
              </w:rPr>
              <w:t>Attendance</w:t>
            </w:r>
          </w:p>
        </w:tc>
        <w:tc>
          <w:tcPr>
            <w:tcW w:w="6915" w:type="dxa"/>
            <w:tcBorders>
              <w:top w:val="single" w:sz="6" w:space="0" w:color="93867A"/>
              <w:left w:val="nil"/>
              <w:bottom w:val="single" w:sz="6" w:space="0" w:color="93867A"/>
              <w:right w:val="nil"/>
            </w:tcBorders>
            <w:vAlign w:val="center"/>
          </w:tcPr>
          <w:p w14:paraId="531D235D" w14:textId="6DCC5B1A" w:rsidR="00950928" w:rsidRPr="00866C1F" w:rsidRDefault="00141CC9" w:rsidP="00AA6081">
            <w:pPr>
              <w:spacing w:line="259" w:lineRule="auto"/>
              <w:rPr>
                <w:rFonts w:asciiTheme="minorHAnsi" w:eastAsia="Arial" w:hAnsiTheme="minorHAnsi" w:cstheme="minorHAnsi"/>
              </w:rPr>
            </w:pPr>
            <w:r w:rsidRPr="00866C1F">
              <w:rPr>
                <w:rFonts w:asciiTheme="minorHAnsi" w:eastAsia="Arial" w:hAnsiTheme="minorHAnsi" w:cstheme="minorHAnsi"/>
              </w:rPr>
              <w:t xml:space="preserve">Christopher Clark, </w:t>
            </w:r>
            <w:r w:rsidR="006A5A28" w:rsidRPr="00866C1F">
              <w:rPr>
                <w:rFonts w:asciiTheme="minorHAnsi" w:eastAsia="Arial" w:hAnsiTheme="minorHAnsi" w:cstheme="minorHAnsi"/>
              </w:rPr>
              <w:t>Alan Williams, Paulina Bieleninik</w:t>
            </w:r>
          </w:p>
        </w:tc>
      </w:tr>
    </w:tbl>
    <w:p w14:paraId="3F0B9C0C" w14:textId="7E49657A" w:rsidR="00045626" w:rsidRPr="00866C1F" w:rsidRDefault="00045626" w:rsidP="00045626">
      <w:pPr>
        <w:pStyle w:val="paragraph"/>
        <w:spacing w:before="0" w:beforeAutospacing="0" w:after="0" w:afterAutospacing="0"/>
        <w:textAlignment w:val="baseline"/>
        <w:rPr>
          <w:rStyle w:val="normaltextrun"/>
          <w:rFonts w:asciiTheme="minorHAnsi" w:hAnsiTheme="minorHAnsi" w:cstheme="minorHAnsi"/>
        </w:rPr>
      </w:pPr>
    </w:p>
    <w:p w14:paraId="05D64048" w14:textId="77777777" w:rsidR="006E1B0A" w:rsidRPr="00866C1F" w:rsidRDefault="006E1B0A" w:rsidP="00C13556">
      <w:pPr>
        <w:pStyle w:val="paragraph"/>
        <w:spacing w:before="0" w:beforeAutospacing="0" w:after="0" w:afterAutospacing="0"/>
        <w:textAlignment w:val="baseline"/>
        <w:rPr>
          <w:rStyle w:val="normaltextrun"/>
          <w:rFonts w:asciiTheme="minorHAnsi" w:hAnsiTheme="minorHAnsi" w:cstheme="minorHAnsi"/>
        </w:rPr>
      </w:pPr>
    </w:p>
    <w:p w14:paraId="0DCC1E8F" w14:textId="7516C6D1" w:rsidR="00616B2F" w:rsidRPr="00866C1F" w:rsidRDefault="006E1B0A" w:rsidP="00C13556">
      <w:pPr>
        <w:pStyle w:val="paragraph"/>
        <w:spacing w:before="0" w:beforeAutospacing="0" w:after="0" w:afterAutospacing="0"/>
        <w:textAlignment w:val="baseline"/>
        <w:rPr>
          <w:rStyle w:val="normaltextrun"/>
          <w:rFonts w:asciiTheme="minorHAnsi" w:hAnsiTheme="minorHAnsi" w:cstheme="minorHAnsi"/>
          <w:color w:val="FF0000"/>
          <w:sz w:val="28"/>
          <w:szCs w:val="28"/>
        </w:rPr>
      </w:pPr>
      <w:r w:rsidRPr="00866C1F">
        <w:rPr>
          <w:rStyle w:val="normaltextrun"/>
          <w:rFonts w:asciiTheme="minorHAnsi" w:hAnsiTheme="minorHAnsi" w:cstheme="minorHAnsi"/>
          <w:color w:val="FF0000"/>
          <w:sz w:val="28"/>
          <w:szCs w:val="28"/>
        </w:rPr>
        <w:t xml:space="preserve">Discussion Points </w:t>
      </w:r>
    </w:p>
    <w:p w14:paraId="1DBA3C77" w14:textId="3EB36700" w:rsidR="164F845D" w:rsidRPr="00866C1F" w:rsidRDefault="164F845D" w:rsidP="164F845D">
      <w:pPr>
        <w:pStyle w:val="paragraph"/>
        <w:spacing w:before="0" w:beforeAutospacing="0" w:after="0" w:afterAutospacing="0"/>
        <w:rPr>
          <w:rStyle w:val="normaltextrun"/>
          <w:rFonts w:asciiTheme="minorHAnsi" w:hAnsiTheme="minorHAnsi" w:cstheme="minorHAnsi"/>
          <w:color w:val="FF0000"/>
          <w:sz w:val="28"/>
          <w:szCs w:val="28"/>
        </w:rPr>
      </w:pPr>
    </w:p>
    <w:p w14:paraId="15F80768" w14:textId="08B5F0BF" w:rsidR="00950928" w:rsidRPr="00866C1F" w:rsidRDefault="003B0FC5" w:rsidP="003B0FC5">
      <w:pPr>
        <w:pStyle w:val="ListParagraph"/>
        <w:numPr>
          <w:ilvl w:val="0"/>
          <w:numId w:val="11"/>
        </w:numPr>
        <w:spacing w:line="259" w:lineRule="auto"/>
        <w:rPr>
          <w:rFonts w:asciiTheme="minorHAnsi" w:eastAsia="Arial" w:hAnsiTheme="minorHAnsi" w:cstheme="minorHAnsi"/>
        </w:rPr>
      </w:pPr>
      <w:r w:rsidRPr="00866C1F">
        <w:rPr>
          <w:rFonts w:asciiTheme="minorHAnsi" w:eastAsia="Times New Roman" w:hAnsiTheme="minorHAnsi" w:cstheme="minorHAnsi"/>
          <w:lang w:eastAsia="en-GB"/>
        </w:rPr>
        <w:t>We understand that some supervisors check the DRIM portal for those expected on shift, quite a lot earlier than the briefing. Please be advised that often we are required to make changes to the Rota between 09:30 -10:00am. It might be advisable to keep the portal open &amp; refresh the Rota between these times, to ensure that you are able to see any changes. If there are further changes after around 10am, we will of course notify you of those via the usual platforms, Teams/Mitel etc.</w:t>
      </w:r>
    </w:p>
    <w:p w14:paraId="253BF9DD" w14:textId="752E85C0" w:rsidR="003B0FC5" w:rsidRPr="00866C1F" w:rsidRDefault="00795837" w:rsidP="003B0FC5">
      <w:pPr>
        <w:pStyle w:val="ListParagraph"/>
        <w:numPr>
          <w:ilvl w:val="0"/>
          <w:numId w:val="11"/>
        </w:numPr>
        <w:spacing w:line="259" w:lineRule="auto"/>
        <w:rPr>
          <w:rFonts w:asciiTheme="minorHAnsi" w:eastAsia="Arial" w:hAnsiTheme="minorHAnsi" w:cstheme="minorHAnsi"/>
        </w:rPr>
      </w:pPr>
      <w:r w:rsidRPr="00866C1F">
        <w:rPr>
          <w:rFonts w:asciiTheme="minorHAnsi" w:eastAsia="Arial" w:hAnsiTheme="minorHAnsi" w:cstheme="minorHAnsi"/>
        </w:rPr>
        <w:t>As you may know, DRIM will be taken out of action around end of January next year. While we have tested a couple of options, we are now aware that Assemble Rota’s are currently in phase 2 of testing. A Testing group has been selected and we are just rollout of these for testing to take place for the NSL.  It is looking promising that we may move away from DRIM straight onto Assemble Rota’s.</w:t>
      </w:r>
    </w:p>
    <w:p w14:paraId="294EC748" w14:textId="27C28988" w:rsidR="00795837" w:rsidRPr="00866C1F" w:rsidRDefault="00795837" w:rsidP="00795837">
      <w:pPr>
        <w:pStyle w:val="ListParagraph"/>
        <w:spacing w:line="259" w:lineRule="auto"/>
        <w:rPr>
          <w:rFonts w:asciiTheme="minorHAnsi" w:eastAsia="Arial" w:hAnsiTheme="minorHAnsi" w:cstheme="minorHAnsi"/>
          <w:color w:val="70AD47" w:themeColor="accent6"/>
        </w:rPr>
      </w:pPr>
      <w:r w:rsidRPr="00866C1F">
        <w:rPr>
          <w:rFonts w:asciiTheme="minorHAnsi" w:eastAsia="Arial" w:hAnsiTheme="minorHAnsi" w:cstheme="minorHAnsi"/>
          <w:color w:val="70AD47" w:themeColor="accent6"/>
        </w:rPr>
        <w:t xml:space="preserve">CC – </w:t>
      </w:r>
      <w:r w:rsidR="006F066D" w:rsidRPr="00866C1F">
        <w:rPr>
          <w:rFonts w:asciiTheme="minorHAnsi" w:eastAsia="Arial" w:hAnsiTheme="minorHAnsi" w:cstheme="minorHAnsi"/>
          <w:color w:val="70AD47" w:themeColor="accent6"/>
        </w:rPr>
        <w:t xml:space="preserve">Would be great if that information can be added to briefing updates. </w:t>
      </w:r>
    </w:p>
    <w:p w14:paraId="41BDBB87" w14:textId="3590588E" w:rsidR="00795837" w:rsidRPr="00866C1F" w:rsidRDefault="00795837" w:rsidP="003B0FC5">
      <w:pPr>
        <w:pStyle w:val="ListParagraph"/>
        <w:numPr>
          <w:ilvl w:val="0"/>
          <w:numId w:val="11"/>
        </w:numPr>
        <w:spacing w:line="259" w:lineRule="auto"/>
        <w:rPr>
          <w:rFonts w:asciiTheme="minorHAnsi" w:eastAsia="Arial" w:hAnsiTheme="minorHAnsi" w:cstheme="minorHAnsi"/>
        </w:rPr>
      </w:pPr>
      <w:r w:rsidRPr="00866C1F">
        <w:rPr>
          <w:rFonts w:asciiTheme="minorHAnsi" w:eastAsia="Arial" w:hAnsiTheme="minorHAnsi" w:cstheme="minorHAnsi"/>
        </w:rPr>
        <w:t>Dynamics 2.0 has seen a delay, unfortunately. While we had high hopes that all final tweaks were resolved, we quickly realised that in fact the tool was not quite as ready as we thought. The rollout will be delayed now until the new year.</w:t>
      </w:r>
    </w:p>
    <w:p w14:paraId="047CB331" w14:textId="557BD7F7" w:rsidR="00FE2BCE" w:rsidRPr="00866C1F" w:rsidRDefault="00FE2BCE" w:rsidP="00FE2BCE">
      <w:pPr>
        <w:pStyle w:val="ListParagraph"/>
        <w:spacing w:line="259" w:lineRule="auto"/>
        <w:rPr>
          <w:rFonts w:asciiTheme="minorHAnsi" w:eastAsia="Arial" w:hAnsiTheme="minorHAnsi" w:cstheme="minorHAnsi"/>
          <w:color w:val="70AD47" w:themeColor="accent6"/>
        </w:rPr>
      </w:pPr>
      <w:r w:rsidRPr="00866C1F">
        <w:rPr>
          <w:rFonts w:asciiTheme="minorHAnsi" w:eastAsia="Arial" w:hAnsiTheme="minorHAnsi" w:cstheme="minorHAnsi"/>
          <w:color w:val="70AD47" w:themeColor="accent6"/>
        </w:rPr>
        <w:t xml:space="preserve">AW – Inform the volunteers to </w:t>
      </w:r>
      <w:r w:rsidR="003D1FAF" w:rsidRPr="00866C1F">
        <w:rPr>
          <w:rFonts w:asciiTheme="minorHAnsi" w:eastAsia="Arial" w:hAnsiTheme="minorHAnsi" w:cstheme="minorHAnsi"/>
          <w:color w:val="70AD47" w:themeColor="accent6"/>
        </w:rPr>
        <w:t xml:space="preserve">take a time to practice on </w:t>
      </w:r>
      <w:r w:rsidR="00633A31" w:rsidRPr="00866C1F">
        <w:rPr>
          <w:rFonts w:asciiTheme="minorHAnsi" w:eastAsia="Arial" w:hAnsiTheme="minorHAnsi" w:cstheme="minorHAnsi"/>
          <w:color w:val="70AD47" w:themeColor="accent6"/>
        </w:rPr>
        <w:t>S</w:t>
      </w:r>
      <w:r w:rsidR="003D1FAF" w:rsidRPr="00866C1F">
        <w:rPr>
          <w:rFonts w:asciiTheme="minorHAnsi" w:eastAsia="Arial" w:hAnsiTheme="minorHAnsi" w:cstheme="minorHAnsi"/>
          <w:color w:val="70AD47" w:themeColor="accent6"/>
        </w:rPr>
        <w:t>andbox</w:t>
      </w:r>
      <w:r w:rsidR="00633A31" w:rsidRPr="00866C1F">
        <w:rPr>
          <w:rFonts w:asciiTheme="minorHAnsi" w:eastAsia="Arial" w:hAnsiTheme="minorHAnsi" w:cstheme="minorHAnsi"/>
          <w:color w:val="70AD47" w:themeColor="accent6"/>
        </w:rPr>
        <w:t>.</w:t>
      </w:r>
    </w:p>
    <w:p w14:paraId="4D5D4BCA" w14:textId="42D8CE9F" w:rsidR="00795837" w:rsidRPr="00866C1F" w:rsidRDefault="00795837" w:rsidP="003B0FC5">
      <w:pPr>
        <w:pStyle w:val="ListParagraph"/>
        <w:numPr>
          <w:ilvl w:val="0"/>
          <w:numId w:val="11"/>
        </w:numPr>
        <w:spacing w:line="259" w:lineRule="auto"/>
        <w:rPr>
          <w:rFonts w:asciiTheme="minorHAnsi" w:eastAsia="Arial" w:hAnsiTheme="minorHAnsi" w:cstheme="minorHAnsi"/>
        </w:rPr>
      </w:pPr>
      <w:r w:rsidRPr="00866C1F">
        <w:rPr>
          <w:rFonts w:asciiTheme="minorHAnsi" w:eastAsia="Arial" w:hAnsiTheme="minorHAnsi" w:cstheme="minorHAnsi"/>
        </w:rPr>
        <w:t>As per the today briefing update, The RS areas have been updated in RS drop down on SLOM. This is most up to date information put together by Lucy from the RS teams, to incl festive closures and additional signposting. Please encourage operators to utilise all alternative and additional signposting available. N.B. unless stated otherwise, the service will be operational.</w:t>
      </w:r>
    </w:p>
    <w:p w14:paraId="14355B12" w14:textId="14D4018A" w:rsidR="003D1FAF" w:rsidRPr="00866C1F" w:rsidRDefault="003D1FAF" w:rsidP="009870FA">
      <w:pPr>
        <w:pStyle w:val="ListParagraph"/>
        <w:spacing w:line="259" w:lineRule="auto"/>
        <w:rPr>
          <w:rFonts w:asciiTheme="minorHAnsi" w:eastAsia="Arial" w:hAnsiTheme="minorHAnsi" w:cstheme="minorHAnsi"/>
          <w:color w:val="70AD47" w:themeColor="accent6"/>
        </w:rPr>
      </w:pPr>
      <w:r w:rsidRPr="00866C1F">
        <w:rPr>
          <w:rFonts w:asciiTheme="minorHAnsi" w:eastAsia="Arial" w:hAnsiTheme="minorHAnsi" w:cstheme="minorHAnsi"/>
          <w:color w:val="70AD47" w:themeColor="accent6"/>
        </w:rPr>
        <w:lastRenderedPageBreak/>
        <w:t xml:space="preserve">CC&amp;AW - </w:t>
      </w:r>
      <w:r w:rsidR="009870FA" w:rsidRPr="00866C1F">
        <w:rPr>
          <w:rFonts w:asciiTheme="minorHAnsi" w:eastAsia="Arial" w:hAnsiTheme="minorHAnsi" w:cstheme="minorHAnsi"/>
          <w:color w:val="70AD47" w:themeColor="accent6"/>
        </w:rPr>
        <w:t xml:space="preserve">RS its more closed than open. It might have an </w:t>
      </w:r>
      <w:r w:rsidR="00633A31" w:rsidRPr="00866C1F">
        <w:rPr>
          <w:rFonts w:asciiTheme="minorHAnsi" w:eastAsia="Arial" w:hAnsiTheme="minorHAnsi" w:cstheme="minorHAnsi"/>
          <w:color w:val="70AD47" w:themeColor="accent6"/>
        </w:rPr>
        <w:t xml:space="preserve">impact on </w:t>
      </w:r>
      <w:r w:rsidR="009870FA" w:rsidRPr="00866C1F">
        <w:rPr>
          <w:rFonts w:asciiTheme="minorHAnsi" w:eastAsia="Arial" w:hAnsiTheme="minorHAnsi" w:cstheme="minorHAnsi"/>
          <w:color w:val="70AD47" w:themeColor="accent6"/>
        </w:rPr>
        <w:t>the Reputation and image</w:t>
      </w:r>
      <w:r w:rsidR="00633A31" w:rsidRPr="00866C1F">
        <w:rPr>
          <w:rFonts w:asciiTheme="minorHAnsi" w:eastAsia="Arial" w:hAnsiTheme="minorHAnsi" w:cstheme="minorHAnsi"/>
          <w:color w:val="70AD47" w:themeColor="accent6"/>
        </w:rPr>
        <w:t xml:space="preserve"> of BRC. Web shows</w:t>
      </w:r>
      <w:r w:rsidR="009870FA" w:rsidRPr="00866C1F">
        <w:rPr>
          <w:rFonts w:asciiTheme="minorHAnsi" w:eastAsia="Arial" w:hAnsiTheme="minorHAnsi" w:cstheme="minorHAnsi"/>
          <w:color w:val="70AD47" w:themeColor="accent6"/>
        </w:rPr>
        <w:t xml:space="preserve"> a lot of offices </w:t>
      </w:r>
      <w:r w:rsidR="00633A31" w:rsidRPr="00866C1F">
        <w:rPr>
          <w:rFonts w:asciiTheme="minorHAnsi" w:eastAsia="Arial" w:hAnsiTheme="minorHAnsi" w:cstheme="minorHAnsi"/>
          <w:color w:val="70AD47" w:themeColor="accent6"/>
        </w:rPr>
        <w:t>however most of them are unavailable</w:t>
      </w:r>
      <w:r w:rsidR="009870FA" w:rsidRPr="00866C1F">
        <w:rPr>
          <w:rFonts w:asciiTheme="minorHAnsi" w:eastAsia="Arial" w:hAnsiTheme="minorHAnsi" w:cstheme="minorHAnsi"/>
          <w:color w:val="70AD47" w:themeColor="accent6"/>
        </w:rPr>
        <w:t>.</w:t>
      </w:r>
    </w:p>
    <w:sectPr w:rsidR="003D1FAF" w:rsidRPr="00866C1F">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F15B" w14:textId="77777777" w:rsidR="003246AB" w:rsidRDefault="003246AB">
      <w:pPr>
        <w:spacing w:after="0" w:line="240" w:lineRule="auto"/>
      </w:pPr>
      <w:r>
        <w:separator/>
      </w:r>
    </w:p>
  </w:endnote>
  <w:endnote w:type="continuationSeparator" w:id="0">
    <w:p w14:paraId="56DF13DC" w14:textId="77777777" w:rsidR="003246AB" w:rsidRDefault="003246AB">
      <w:pPr>
        <w:spacing w:after="0" w:line="240" w:lineRule="auto"/>
      </w:pPr>
      <w:r>
        <w:continuationSeparator/>
      </w:r>
    </w:p>
  </w:endnote>
  <w:endnote w:type="continuationNotice" w:id="1">
    <w:p w14:paraId="5C6EF216" w14:textId="77777777" w:rsidR="003246AB" w:rsidRDefault="00324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C519" w14:textId="77777777" w:rsidR="003246AB" w:rsidRDefault="003246AB">
      <w:pPr>
        <w:spacing w:after="0" w:line="240" w:lineRule="auto"/>
      </w:pPr>
      <w:r>
        <w:rPr>
          <w:color w:val="000000"/>
        </w:rPr>
        <w:separator/>
      </w:r>
    </w:p>
  </w:footnote>
  <w:footnote w:type="continuationSeparator" w:id="0">
    <w:p w14:paraId="10ADEC01" w14:textId="77777777" w:rsidR="003246AB" w:rsidRDefault="003246AB">
      <w:pPr>
        <w:spacing w:after="0" w:line="240" w:lineRule="auto"/>
      </w:pPr>
      <w:r>
        <w:continuationSeparator/>
      </w:r>
    </w:p>
  </w:footnote>
  <w:footnote w:type="continuationNotice" w:id="1">
    <w:p w14:paraId="6AE0CA63" w14:textId="77777777" w:rsidR="003246AB" w:rsidRDefault="003246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B35"/>
    <w:multiLevelType w:val="hybridMultilevel"/>
    <w:tmpl w:val="C206D342"/>
    <w:lvl w:ilvl="0" w:tplc="421813D8">
      <w:start w:val="1"/>
      <w:numFmt w:val="decimal"/>
      <w:lvlText w:val="%1.)"/>
      <w:lvlJc w:val="left"/>
      <w:pPr>
        <w:ind w:left="720" w:hanging="360"/>
      </w:pPr>
      <w:rPr>
        <w:rFonts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E108F3"/>
    <w:multiLevelType w:val="hybridMultilevel"/>
    <w:tmpl w:val="90C6A7C6"/>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1633905990">
    <w:abstractNumId w:val="10"/>
  </w:num>
  <w:num w:numId="2" w16cid:durableId="226301639">
    <w:abstractNumId w:val="4"/>
  </w:num>
  <w:num w:numId="3" w16cid:durableId="1602645165">
    <w:abstractNumId w:val="9"/>
  </w:num>
  <w:num w:numId="4" w16cid:durableId="1921677180">
    <w:abstractNumId w:val="1"/>
  </w:num>
  <w:num w:numId="5" w16cid:durableId="1840270942">
    <w:abstractNumId w:val="3"/>
  </w:num>
  <w:num w:numId="6" w16cid:durableId="1589847447">
    <w:abstractNumId w:val="8"/>
  </w:num>
  <w:num w:numId="7" w16cid:durableId="691299569">
    <w:abstractNumId w:val="2"/>
  </w:num>
  <w:num w:numId="8" w16cid:durableId="1294603323">
    <w:abstractNumId w:val="5"/>
  </w:num>
  <w:num w:numId="9" w16cid:durableId="91707422">
    <w:abstractNumId w:val="7"/>
  </w:num>
  <w:num w:numId="10" w16cid:durableId="1039547606">
    <w:abstractNumId w:val="0"/>
  </w:num>
  <w:num w:numId="11" w16cid:durableId="2103210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110DE"/>
    <w:rsid w:val="00121453"/>
    <w:rsid w:val="001247C4"/>
    <w:rsid w:val="00141CC9"/>
    <w:rsid w:val="00192761"/>
    <w:rsid w:val="00195849"/>
    <w:rsid w:val="00251001"/>
    <w:rsid w:val="00272FB6"/>
    <w:rsid w:val="0029304C"/>
    <w:rsid w:val="002A0556"/>
    <w:rsid w:val="002A72E2"/>
    <w:rsid w:val="002B68B5"/>
    <w:rsid w:val="002C1D00"/>
    <w:rsid w:val="002C2EE1"/>
    <w:rsid w:val="00311941"/>
    <w:rsid w:val="00314D7B"/>
    <w:rsid w:val="003246AB"/>
    <w:rsid w:val="00361344"/>
    <w:rsid w:val="003A65BF"/>
    <w:rsid w:val="003B0FC5"/>
    <w:rsid w:val="003B2F11"/>
    <w:rsid w:val="003C5BBA"/>
    <w:rsid w:val="003C645C"/>
    <w:rsid w:val="003D1FAF"/>
    <w:rsid w:val="003D4B35"/>
    <w:rsid w:val="003E51FF"/>
    <w:rsid w:val="003E6BDA"/>
    <w:rsid w:val="003F02AC"/>
    <w:rsid w:val="004073FF"/>
    <w:rsid w:val="00430AED"/>
    <w:rsid w:val="004321A8"/>
    <w:rsid w:val="004356AD"/>
    <w:rsid w:val="004478F0"/>
    <w:rsid w:val="004E5F93"/>
    <w:rsid w:val="00530D91"/>
    <w:rsid w:val="00544429"/>
    <w:rsid w:val="00551E3E"/>
    <w:rsid w:val="005A1A4B"/>
    <w:rsid w:val="005A4C5F"/>
    <w:rsid w:val="00610421"/>
    <w:rsid w:val="00612883"/>
    <w:rsid w:val="00616B2F"/>
    <w:rsid w:val="00633A31"/>
    <w:rsid w:val="00655461"/>
    <w:rsid w:val="0067543C"/>
    <w:rsid w:val="006A5A28"/>
    <w:rsid w:val="006B0F06"/>
    <w:rsid w:val="006E1B0A"/>
    <w:rsid w:val="006F066D"/>
    <w:rsid w:val="0071350E"/>
    <w:rsid w:val="00715730"/>
    <w:rsid w:val="007162D6"/>
    <w:rsid w:val="007269D2"/>
    <w:rsid w:val="00764811"/>
    <w:rsid w:val="00795837"/>
    <w:rsid w:val="00825EE1"/>
    <w:rsid w:val="00842C75"/>
    <w:rsid w:val="00866C1F"/>
    <w:rsid w:val="0089702E"/>
    <w:rsid w:val="008D4E14"/>
    <w:rsid w:val="009019DE"/>
    <w:rsid w:val="00911D70"/>
    <w:rsid w:val="009121D3"/>
    <w:rsid w:val="009365B7"/>
    <w:rsid w:val="0094548F"/>
    <w:rsid w:val="00950928"/>
    <w:rsid w:val="0097652A"/>
    <w:rsid w:val="009870FA"/>
    <w:rsid w:val="009A0963"/>
    <w:rsid w:val="009C6D27"/>
    <w:rsid w:val="009D4FE3"/>
    <w:rsid w:val="009E2543"/>
    <w:rsid w:val="009F5E04"/>
    <w:rsid w:val="00A007F7"/>
    <w:rsid w:val="00A26706"/>
    <w:rsid w:val="00A3486C"/>
    <w:rsid w:val="00A927AE"/>
    <w:rsid w:val="00AA6081"/>
    <w:rsid w:val="00B01505"/>
    <w:rsid w:val="00B56470"/>
    <w:rsid w:val="00BA5641"/>
    <w:rsid w:val="00BA5D4B"/>
    <w:rsid w:val="00BF3D07"/>
    <w:rsid w:val="00C03D36"/>
    <w:rsid w:val="00C07186"/>
    <w:rsid w:val="00C13556"/>
    <w:rsid w:val="00C3172F"/>
    <w:rsid w:val="00C80D78"/>
    <w:rsid w:val="00C82423"/>
    <w:rsid w:val="00C855D6"/>
    <w:rsid w:val="00C960BE"/>
    <w:rsid w:val="00CB0AF9"/>
    <w:rsid w:val="00CC35AE"/>
    <w:rsid w:val="00D22C9B"/>
    <w:rsid w:val="00D515CF"/>
    <w:rsid w:val="00D52CA3"/>
    <w:rsid w:val="00D728F8"/>
    <w:rsid w:val="00DD72A3"/>
    <w:rsid w:val="00E01965"/>
    <w:rsid w:val="00E25AFE"/>
    <w:rsid w:val="00E56CFE"/>
    <w:rsid w:val="00E8132C"/>
    <w:rsid w:val="00EB3F25"/>
    <w:rsid w:val="00F27890"/>
    <w:rsid w:val="00F552FB"/>
    <w:rsid w:val="00FE2BCE"/>
    <w:rsid w:val="00FE787E"/>
    <w:rsid w:val="00FF0080"/>
    <w:rsid w:val="00FF12BC"/>
    <w:rsid w:val="00FF23C7"/>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 w:type="character" w:customStyle="1" w:styleId="ui-provider">
    <w:name w:val="ui-provider"/>
    <w:basedOn w:val="DefaultParagraphFont"/>
    <w:rsid w:val="00D7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 w:id="1987584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1682A-215D-4C37-869B-A89BBD694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Paulina Bieleninik</cp:lastModifiedBy>
  <cp:revision>27</cp:revision>
  <dcterms:created xsi:type="dcterms:W3CDTF">2023-07-27T08:36:00Z</dcterms:created>
  <dcterms:modified xsi:type="dcterms:W3CDTF">2023-12-19T10:13:00Z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